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C23" w:rsidRPr="008F29F4" w:rsidRDefault="00F71C23" w:rsidP="00F71C23">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8F29F4">
        <w:rPr>
          <w:rFonts w:ascii="Arial" w:eastAsia="바탕" w:hAnsi="Arial" w:cs="Times New Roman"/>
          <w:b/>
          <w:kern w:val="0"/>
          <w:sz w:val="24"/>
          <w:szCs w:val="20"/>
          <w:lang w:val="en-GB" w:eastAsia="zh-CN"/>
        </w:rPr>
        <w:t>3GPP TSG</w:t>
      </w:r>
      <w:r w:rsidRPr="008F29F4">
        <w:rPr>
          <w:rFonts w:ascii="Arial" w:eastAsia="맑은 고딕" w:hAnsi="Arial" w:cs="Times New Roman" w:hint="eastAsia"/>
          <w:b/>
          <w:kern w:val="0"/>
          <w:sz w:val="24"/>
          <w:szCs w:val="20"/>
          <w:lang w:val="en-GB"/>
        </w:rPr>
        <w:t xml:space="preserve"> </w:t>
      </w:r>
      <w:r w:rsidRPr="008F29F4">
        <w:rPr>
          <w:rFonts w:ascii="Arial" w:eastAsia="바탕" w:hAnsi="Arial" w:cs="Times New Roman"/>
          <w:b/>
          <w:kern w:val="0"/>
          <w:sz w:val="24"/>
          <w:szCs w:val="20"/>
          <w:lang w:val="en-GB" w:eastAsia="zh-CN"/>
        </w:rPr>
        <w:t>RAN</w:t>
      </w:r>
      <w:r w:rsidRPr="008F29F4">
        <w:rPr>
          <w:rFonts w:ascii="Arial" w:eastAsia="맑은 고딕" w:hAnsi="Arial" w:cs="Times New Roman" w:hint="eastAsia"/>
          <w:b/>
          <w:kern w:val="0"/>
          <w:sz w:val="24"/>
          <w:szCs w:val="20"/>
          <w:lang w:val="en-GB"/>
        </w:rPr>
        <w:t xml:space="preserve"> WG</w:t>
      </w:r>
      <w:r w:rsidRPr="008F29F4">
        <w:rPr>
          <w:rFonts w:ascii="Arial" w:eastAsia="바탕" w:hAnsi="Arial" w:cs="Times New Roman"/>
          <w:b/>
          <w:kern w:val="0"/>
          <w:sz w:val="24"/>
          <w:szCs w:val="20"/>
          <w:lang w:val="en-GB" w:eastAsia="zh-CN"/>
        </w:rPr>
        <w:t>2</w:t>
      </w:r>
      <w:r w:rsidRPr="008F29F4">
        <w:rPr>
          <w:rFonts w:ascii="Arial" w:eastAsia="맑은 고딕" w:hAnsi="Arial" w:cs="Times New Roman" w:hint="eastAsia"/>
          <w:b/>
          <w:kern w:val="0"/>
          <w:sz w:val="24"/>
          <w:szCs w:val="20"/>
          <w:lang w:val="en-GB"/>
        </w:rPr>
        <w:t xml:space="preserve"> Meeting #109e</w:t>
      </w:r>
      <w:r>
        <w:rPr>
          <w:rFonts w:ascii="Arial" w:eastAsia="맑은 고딕" w:hAnsi="Arial" w:cs="Times New Roman"/>
          <w:b/>
          <w:kern w:val="0"/>
          <w:sz w:val="24"/>
          <w:szCs w:val="20"/>
          <w:lang w:val="en-GB"/>
        </w:rPr>
        <w:tab/>
      </w:r>
      <w:r w:rsidR="00915DC3" w:rsidRPr="00915DC3">
        <w:rPr>
          <w:rFonts w:ascii="Arial" w:eastAsia="바탕" w:hAnsi="Arial" w:cs="Times New Roman"/>
          <w:b/>
          <w:kern w:val="0"/>
          <w:sz w:val="24"/>
          <w:szCs w:val="20"/>
          <w:lang w:val="en-GB" w:eastAsia="zh-CN"/>
        </w:rPr>
        <w:t>R2-2001624</w:t>
      </w:r>
    </w:p>
    <w:p w:rsidR="00F71C23" w:rsidRPr="008F29F4" w:rsidRDefault="00F71C23" w:rsidP="00F71C23">
      <w:pPr>
        <w:tabs>
          <w:tab w:val="right" w:pos="9639"/>
        </w:tabs>
        <w:wordWrap/>
        <w:overflowPunct w:val="0"/>
        <w:adjustRightInd w:val="0"/>
        <w:spacing w:after="0" w:line="240" w:lineRule="auto"/>
        <w:jc w:val="left"/>
        <w:textAlignment w:val="baseline"/>
        <w:rPr>
          <w:rFonts w:ascii="Arial" w:eastAsia="맑은 고딕" w:hAnsi="Arial" w:cs="Times New Roman"/>
          <w:b/>
          <w:kern w:val="0"/>
          <w:sz w:val="24"/>
          <w:szCs w:val="20"/>
          <w:lang w:val="en-GB"/>
        </w:rPr>
      </w:pPr>
      <w:r w:rsidRPr="008F29F4">
        <w:rPr>
          <w:rFonts w:ascii="Arial" w:eastAsia="맑은 고딕" w:hAnsi="Arial" w:cs="Times New Roman" w:hint="eastAsia"/>
          <w:b/>
          <w:kern w:val="0"/>
          <w:sz w:val="24"/>
          <w:szCs w:val="20"/>
          <w:lang w:val="en-GB"/>
        </w:rPr>
        <w:t>e-Meeting</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February</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24</w:t>
      </w:r>
      <w:r w:rsidRPr="008F29F4">
        <w:rPr>
          <w:rFonts w:ascii="Arial" w:eastAsia="맑은 고딕" w:hAnsi="Arial" w:cs="Times New Roman"/>
          <w:b/>
          <w:kern w:val="0"/>
          <w:sz w:val="24"/>
          <w:szCs w:val="20"/>
          <w:lang w:val="en-GB"/>
        </w:rPr>
        <w:t xml:space="preserve">th – </w:t>
      </w:r>
      <w:r w:rsidRPr="008F29F4">
        <w:rPr>
          <w:rFonts w:ascii="Arial" w:eastAsia="맑은 고딕" w:hAnsi="Arial" w:cs="Times New Roman" w:hint="eastAsia"/>
          <w:b/>
          <w:kern w:val="0"/>
          <w:sz w:val="24"/>
          <w:szCs w:val="20"/>
          <w:lang w:val="en-GB"/>
        </w:rPr>
        <w:t>March 4</w:t>
      </w:r>
      <w:r w:rsidRPr="008F29F4">
        <w:rPr>
          <w:rFonts w:ascii="Arial" w:eastAsia="맑은 고딕" w:hAnsi="Arial" w:cs="Times New Roman"/>
          <w:b/>
          <w:kern w:val="0"/>
          <w:sz w:val="24"/>
          <w:szCs w:val="20"/>
          <w:lang w:val="en-GB"/>
        </w:rPr>
        <w:t xml:space="preserve">th, </w:t>
      </w:r>
      <w:r w:rsidRPr="008F29F4">
        <w:rPr>
          <w:rFonts w:ascii="Arial" w:eastAsia="맑은 고딕" w:hAnsi="Arial" w:cs="Times New Roman" w:hint="eastAsia"/>
          <w:b/>
          <w:kern w:val="0"/>
          <w:sz w:val="24"/>
          <w:szCs w:val="20"/>
          <w:lang w:val="en-GB"/>
        </w:rPr>
        <w:t>2020</w:t>
      </w:r>
      <w:r w:rsidRPr="008F29F4">
        <w:rPr>
          <w:rFonts w:ascii="Arial" w:eastAsia="맑은 고딕" w:hAnsi="Arial" w:cs="Times New Roman"/>
          <w:b/>
          <w:kern w:val="0"/>
          <w:sz w:val="24"/>
          <w:szCs w:val="20"/>
          <w:lang w:val="en-GB"/>
        </w:rPr>
        <w:t xml:space="preserve">    </w:t>
      </w:r>
      <w:bookmarkStart w:id="0" w:name="_GoBack"/>
      <w:bookmarkEnd w:id="0"/>
      <w:r w:rsidRPr="008F29F4">
        <w:rPr>
          <w:rFonts w:ascii="Arial" w:eastAsia="맑은 고딕" w:hAnsi="Arial" w:cs="Times New Roman"/>
          <w:b/>
          <w:kern w:val="0"/>
          <w:sz w:val="24"/>
          <w:szCs w:val="20"/>
          <w:lang w:val="en-GB"/>
        </w:rPr>
        <w:t xml:space="preserve">  </w:t>
      </w:r>
      <w:r>
        <w:rPr>
          <w:rFonts w:ascii="Arial" w:eastAsia="맑은 고딕" w:hAnsi="Arial" w:cs="Times New Roman"/>
          <w:b/>
          <w:kern w:val="0"/>
          <w:sz w:val="24"/>
          <w:szCs w:val="20"/>
          <w:lang w:val="en-GB"/>
        </w:rPr>
        <w:tab/>
      </w:r>
      <w:r w:rsidRPr="008F29F4">
        <w:rPr>
          <w:rFonts w:ascii="Arial" w:eastAsia="맑은 고딕" w:hAnsi="Arial" w:cs="Times New Roman"/>
          <w:b/>
          <w:kern w:val="0"/>
          <w:sz w:val="24"/>
          <w:szCs w:val="20"/>
          <w:lang w:val="en-GB"/>
        </w:rPr>
        <w:t xml:space="preserve">   </w:t>
      </w:r>
      <w:r w:rsidRPr="002912A3">
        <w:rPr>
          <w:rFonts w:ascii="Arial" w:eastAsia="Times New Roman" w:hAnsi="Arial" w:cs="Times New Roman"/>
          <w:b/>
          <w:bCs/>
          <w:kern w:val="0"/>
          <w:szCs w:val="20"/>
          <w:lang w:val="en-GB" w:eastAsia="en-US"/>
        </w:rPr>
        <w:t>(re</w:t>
      </w:r>
      <w:r>
        <w:rPr>
          <w:rFonts w:ascii="Arial" w:eastAsia="Times New Roman" w:hAnsi="Arial" w:cs="Times New Roman"/>
          <w:b/>
          <w:bCs/>
          <w:kern w:val="0"/>
          <w:szCs w:val="20"/>
          <w:lang w:val="en-GB" w:eastAsia="en-US"/>
        </w:rPr>
        <w:t>v.</w:t>
      </w:r>
      <w:r w:rsidRPr="002912A3">
        <w:rPr>
          <w:rFonts w:ascii="Arial" w:eastAsia="Times New Roman" w:hAnsi="Arial" w:cs="Times New Roman"/>
          <w:b/>
          <w:bCs/>
          <w:kern w:val="0"/>
          <w:szCs w:val="20"/>
          <w:lang w:val="en-GB" w:eastAsia="en-US"/>
        </w:rPr>
        <w:t xml:space="preserve"> of R2-191</w:t>
      </w:r>
      <w:r>
        <w:rPr>
          <w:rFonts w:ascii="Arial" w:eastAsia="Times New Roman" w:hAnsi="Arial" w:cs="Times New Roman"/>
          <w:b/>
          <w:bCs/>
          <w:kern w:val="0"/>
          <w:szCs w:val="20"/>
          <w:lang w:val="en-GB" w:eastAsia="en-US"/>
        </w:rPr>
        <w:t>6056</w:t>
      </w:r>
      <w:r w:rsidRPr="002912A3">
        <w:rPr>
          <w:rFonts w:ascii="Arial" w:eastAsia="Times New Roman" w:hAnsi="Arial" w:cs="Times New Roman"/>
          <w:b/>
          <w:bCs/>
          <w:kern w:val="0"/>
          <w:szCs w:val="20"/>
          <w:lang w:val="en-GB" w:eastAsia="en-US"/>
        </w:rPr>
        <w:t>)</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 xml:space="preserve">  </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 xml:space="preserve"> </w:t>
      </w:r>
    </w:p>
    <w:p w:rsidR="002912A3" w:rsidRDefault="002912A3" w:rsidP="00CC4E7B">
      <w:pPr>
        <w:tabs>
          <w:tab w:val="left" w:pos="1701"/>
          <w:tab w:val="right" w:pos="9923"/>
        </w:tabs>
        <w:wordWrap/>
        <w:autoSpaceDE/>
        <w:autoSpaceDN/>
        <w:spacing w:before="120" w:after="0" w:line="240" w:lineRule="auto"/>
        <w:jc w:val="left"/>
        <w:rPr>
          <w:rFonts w:ascii="Arial" w:eastAsia="Times New Roman" w:hAnsi="Arial" w:cs="Times New Roman"/>
          <w:b/>
          <w:bCs/>
          <w:kern w:val="0"/>
          <w:szCs w:val="20"/>
          <w:lang w:val="en-GB" w:eastAsia="en-US"/>
        </w:rPr>
      </w:pPr>
      <w:r>
        <w:rPr>
          <w:rFonts w:ascii="Arial" w:eastAsia="Times New Roman" w:hAnsi="Arial" w:cs="Times New Roman"/>
          <w:b/>
          <w:bCs/>
          <w:kern w:val="0"/>
          <w:sz w:val="24"/>
          <w:szCs w:val="24"/>
          <w:lang w:val="en-GB" w:eastAsia="en-US"/>
        </w:rPr>
        <w:tab/>
      </w:r>
    </w:p>
    <w:p w:rsidR="0013383D" w:rsidRPr="00A801BF" w:rsidRDefault="002912A3" w:rsidP="002912A3">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sidRPr="002912A3">
        <w:rPr>
          <w:rFonts w:ascii="Arial" w:eastAsia="Times New Roman" w:hAnsi="Arial" w:cs="Times New Roman"/>
          <w:b/>
          <w:bCs/>
          <w:kern w:val="0"/>
          <w:szCs w:val="20"/>
          <w:lang w:val="en-GB" w:eastAsia="en-US"/>
        </w:rPr>
        <w:tab/>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F68CA" w:rsidRPr="00EF68CA">
        <w:rPr>
          <w:rFonts w:ascii="바탕체" w:eastAsia="바탕체" w:hAnsi="바탕체" w:cs="바탕체"/>
          <w:b/>
          <w:bCs/>
          <w:kern w:val="0"/>
          <w:sz w:val="24"/>
          <w:szCs w:val="20"/>
        </w:rPr>
        <w:t>6.1.2</w:t>
      </w:r>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85731C">
        <w:rPr>
          <w:rFonts w:ascii="Arial" w:eastAsia="바탕" w:hAnsi="Arial" w:cs="Arial"/>
          <w:b/>
          <w:bCs/>
          <w:kern w:val="0"/>
          <w:sz w:val="24"/>
          <w:szCs w:val="20"/>
          <w:lang w:eastAsia="en-US"/>
        </w:rPr>
        <w:t>NR</w:t>
      </w:r>
      <w:r w:rsidR="00732A4C">
        <w:rPr>
          <w:rFonts w:ascii="Arial" w:eastAsia="바탕" w:hAnsi="Arial" w:cs="Arial"/>
          <w:b/>
          <w:bCs/>
          <w:kern w:val="0"/>
          <w:sz w:val="24"/>
          <w:szCs w:val="20"/>
          <w:lang w:eastAsia="en-US"/>
        </w:rPr>
        <w:t>-DC</w:t>
      </w:r>
      <w:r w:rsidR="00034333">
        <w:rPr>
          <w:rFonts w:ascii="Arial" w:eastAsia="바탕" w:hAnsi="Arial" w:cs="Arial"/>
          <w:b/>
          <w:bCs/>
          <w:kern w:val="0"/>
          <w:sz w:val="24"/>
          <w:szCs w:val="20"/>
          <w:lang w:eastAsia="en-US"/>
        </w:rPr>
        <w:t xml:space="preserve"> </w:t>
      </w:r>
      <w:r w:rsidR="00732A4C">
        <w:rPr>
          <w:rFonts w:ascii="Arial" w:eastAsia="바탕" w:hAnsi="Arial" w:cs="Arial"/>
          <w:b/>
          <w:bCs/>
          <w:kern w:val="0"/>
          <w:sz w:val="24"/>
          <w:szCs w:val="20"/>
          <w:lang w:eastAsia="en-US"/>
        </w:rPr>
        <w:t xml:space="preserve">support in </w:t>
      </w:r>
      <w:r w:rsidR="00034333">
        <w:rPr>
          <w:rFonts w:ascii="Arial" w:eastAsia="바탕" w:hAnsi="Arial" w:cs="Arial"/>
          <w:b/>
          <w:bCs/>
          <w:kern w:val="0"/>
          <w:sz w:val="24"/>
          <w:szCs w:val="20"/>
          <w:lang w:eastAsia="en-US"/>
        </w:rPr>
        <w:t>IAB</w:t>
      </w:r>
      <w:r w:rsidR="008B2649">
        <w:rPr>
          <w:rFonts w:ascii="Arial" w:eastAsia="바탕" w:hAnsi="Arial" w:cs="Arial"/>
          <w:b/>
          <w:bCs/>
          <w:kern w:val="0"/>
          <w:sz w:val="24"/>
          <w:szCs w:val="20"/>
          <w:lang w:eastAsia="en-US"/>
        </w:rPr>
        <w:t xml:space="preserve"> (signaling perspective)</w:t>
      </w:r>
      <w:r w:rsidR="00034333">
        <w:rPr>
          <w:rFonts w:ascii="Arial" w:eastAsia="바탕" w:hAnsi="Arial" w:cs="Arial"/>
          <w:b/>
          <w:bCs/>
          <w:kern w:val="0"/>
          <w:sz w:val="24"/>
          <w:szCs w:val="20"/>
          <w:lang w:eastAsia="en-US"/>
        </w:rPr>
        <w:t xml:space="preserve"> </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85731C" w:rsidRDefault="0085731C" w:rsidP="0085731C">
      <w:pPr>
        <w:rPr>
          <w:rFonts w:eastAsiaTheme="minorEastAsia"/>
        </w:rPr>
      </w:pPr>
      <w:r>
        <w:rPr>
          <w:rFonts w:eastAsiaTheme="minorEastAsia"/>
        </w:rPr>
        <w:t xml:space="preserve">In RAN2#107, we had the following agreements on support NRDC in IAB. </w:t>
      </w:r>
    </w:p>
    <w:p w:rsidR="0085731C" w:rsidRDefault="0085731C" w:rsidP="0085731C">
      <w:pPr>
        <w:pStyle w:val="Agreement"/>
      </w:pPr>
      <w:r>
        <w:t>Also the d’ can be supported by DC, by assigning the roles of MN and SN to the IAB nodes serving the outer leaf access IAB node.</w:t>
      </w:r>
    </w:p>
    <w:p w:rsidR="00401668" w:rsidRPr="0085731C" w:rsidRDefault="00401668" w:rsidP="00401668">
      <w:pPr>
        <w:rPr>
          <w:rFonts w:eastAsia="맑은 고딕"/>
          <w:lang w:val="en-GB"/>
        </w:rPr>
      </w:pPr>
    </w:p>
    <w:p w:rsidR="00034333" w:rsidRDefault="0085731C" w:rsidP="0013383D">
      <w:pPr>
        <w:rPr>
          <w:rFonts w:eastAsia="맑은 고딕"/>
          <w:sz w:val="21"/>
          <w:szCs w:val="21"/>
        </w:rPr>
      </w:pPr>
      <w:r>
        <w:rPr>
          <w:rFonts w:eastAsia="맑은 고딕" w:hint="eastAsia"/>
          <w:sz w:val="21"/>
          <w:szCs w:val="21"/>
        </w:rPr>
        <w:t>In this contribution, we discuss about how to further support NR-DC in IAB</w:t>
      </w:r>
    </w:p>
    <w:p w:rsidR="00401668" w:rsidRPr="00814CCF" w:rsidRDefault="00034333" w:rsidP="00AF0696">
      <w:pPr>
        <w:pStyle w:val="1"/>
      </w:pPr>
      <w:r>
        <w:t xml:space="preserve">Discussion </w:t>
      </w:r>
    </w:p>
    <w:p w:rsidR="00034333" w:rsidRDefault="00814CCF" w:rsidP="0013383D">
      <w:pPr>
        <w:rPr>
          <w:rFonts w:eastAsiaTheme="minorEastAsia"/>
        </w:rPr>
      </w:pPr>
      <w:r>
        <w:rPr>
          <w:rFonts w:eastAsiaTheme="minorEastAsia"/>
        </w:rPr>
        <w:t>W</w:t>
      </w:r>
      <w:r>
        <w:rPr>
          <w:rFonts w:eastAsiaTheme="minorEastAsia" w:hint="eastAsia"/>
        </w:rPr>
        <w:t xml:space="preserve">e </w:t>
      </w:r>
      <w:r>
        <w:rPr>
          <w:rFonts w:eastAsiaTheme="minorEastAsia"/>
        </w:rPr>
        <w:t>have option d’ as below:</w:t>
      </w:r>
    </w:p>
    <w:p w:rsidR="00814CCF" w:rsidRDefault="00814CCF" w:rsidP="0013383D">
      <w:pPr>
        <w:rPr>
          <w:rFonts w:eastAsiaTheme="minorEastAsia"/>
        </w:rPr>
      </w:pPr>
    </w:p>
    <w:p w:rsidR="00814CCF" w:rsidRDefault="00814CCF" w:rsidP="0013383D">
      <w:pPr>
        <w:rPr>
          <w:rFonts w:eastAsiaTheme="minorEastAsia"/>
        </w:rPr>
      </w:pPr>
      <w:r>
        <w:rPr>
          <w:rFonts w:ascii="맑은 고딕" w:eastAsia="맑은 고딕" w:hAnsi="맑은 고딕"/>
          <w:lang w:eastAsia="zh-CN"/>
        </w:rPr>
        <w:fldChar w:fldCharType="begin"/>
      </w:r>
      <w:r>
        <w:rPr>
          <w:rFonts w:ascii="맑은 고딕" w:eastAsia="맑은 고딕" w:hAnsi="맑은 고딕"/>
          <w:lang w:eastAsia="zh-CN"/>
        </w:rPr>
        <w:instrText xml:space="preserve"> INCLUDEPICTURE  "cid:image001.png@01D55114.A0775AB0" \* MERGEFORMATINET </w:instrText>
      </w:r>
      <w:r>
        <w:rPr>
          <w:rFonts w:ascii="맑은 고딕" w:eastAsia="맑은 고딕" w:hAnsi="맑은 고딕"/>
          <w:lang w:eastAsia="zh-CN"/>
        </w:rPr>
        <w:fldChar w:fldCharType="separate"/>
      </w:r>
      <w:r w:rsidR="00253839">
        <w:rPr>
          <w:rFonts w:ascii="맑은 고딕" w:eastAsia="맑은 고딕" w:hAnsi="맑은 고딕"/>
          <w:lang w:eastAsia="zh-CN"/>
        </w:rPr>
        <w:fldChar w:fldCharType="begin"/>
      </w:r>
      <w:r w:rsidR="00253839">
        <w:rPr>
          <w:rFonts w:ascii="맑은 고딕" w:eastAsia="맑은 고딕" w:hAnsi="맑은 고딕"/>
          <w:lang w:eastAsia="zh-CN"/>
        </w:rPr>
        <w:instrText xml:space="preserve"> INCLUDEPICTURE  "cid:image001.png@01D55114.A0775AB0" \* MERGEFORMATINET </w:instrText>
      </w:r>
      <w:r w:rsidR="00253839">
        <w:rPr>
          <w:rFonts w:ascii="맑은 고딕" w:eastAsia="맑은 고딕" w:hAnsi="맑은 고딕"/>
          <w:lang w:eastAsia="zh-CN"/>
        </w:rPr>
        <w:fldChar w:fldCharType="separate"/>
      </w:r>
      <w:r w:rsidR="00485B35">
        <w:rPr>
          <w:rFonts w:ascii="맑은 고딕" w:eastAsia="맑은 고딕" w:hAnsi="맑은 고딕"/>
          <w:lang w:eastAsia="zh-CN"/>
        </w:rPr>
        <w:fldChar w:fldCharType="begin"/>
      </w:r>
      <w:r w:rsidR="00485B35">
        <w:rPr>
          <w:rFonts w:ascii="맑은 고딕" w:eastAsia="맑은 고딕" w:hAnsi="맑은 고딕"/>
          <w:lang w:eastAsia="zh-CN"/>
        </w:rPr>
        <w:instrText xml:space="preserve"> INCLUDEPICTURE  "cid:image001.png@01D55114.A0775AB0" \* MERGEFORMATINET </w:instrText>
      </w:r>
      <w:r w:rsidR="00485B35">
        <w:rPr>
          <w:rFonts w:ascii="맑은 고딕" w:eastAsia="맑은 고딕" w:hAnsi="맑은 고딕"/>
          <w:lang w:eastAsia="zh-CN"/>
        </w:rPr>
        <w:fldChar w:fldCharType="separate"/>
      </w:r>
      <w:r w:rsidR="00D2515A">
        <w:rPr>
          <w:rFonts w:ascii="맑은 고딕" w:eastAsia="맑은 고딕" w:hAnsi="맑은 고딕"/>
          <w:lang w:eastAsia="zh-CN"/>
        </w:rPr>
        <w:fldChar w:fldCharType="begin"/>
      </w:r>
      <w:r w:rsidR="00D2515A">
        <w:rPr>
          <w:rFonts w:ascii="맑은 고딕" w:eastAsia="맑은 고딕" w:hAnsi="맑은 고딕"/>
          <w:lang w:eastAsia="zh-CN"/>
        </w:rPr>
        <w:instrText xml:space="preserve"> INCLUDEPICTURE  "cid:image001.png@01D55114.A0775AB0" \* MERGEFORMATINET </w:instrText>
      </w:r>
      <w:r w:rsidR="00D2515A">
        <w:rPr>
          <w:rFonts w:ascii="맑은 고딕" w:eastAsia="맑은 고딕" w:hAnsi="맑은 고딕"/>
          <w:lang w:eastAsia="zh-CN"/>
        </w:rPr>
        <w:fldChar w:fldCharType="separate"/>
      </w:r>
      <w:r w:rsidR="00F870B6">
        <w:rPr>
          <w:rFonts w:ascii="맑은 고딕" w:eastAsia="맑은 고딕" w:hAnsi="맑은 고딕"/>
          <w:lang w:eastAsia="zh-CN"/>
        </w:rPr>
        <w:fldChar w:fldCharType="begin"/>
      </w:r>
      <w:r w:rsidR="00F870B6">
        <w:rPr>
          <w:rFonts w:ascii="맑은 고딕" w:eastAsia="맑은 고딕" w:hAnsi="맑은 고딕"/>
          <w:lang w:eastAsia="zh-CN"/>
        </w:rPr>
        <w:instrText xml:space="preserve"> INCLUDEPICTURE  "cid:image001.png@01D55114.A0775AB0" \* MERGEFORMATINET </w:instrText>
      </w:r>
      <w:r w:rsidR="00F870B6">
        <w:rPr>
          <w:rFonts w:ascii="맑은 고딕" w:eastAsia="맑은 고딕" w:hAnsi="맑은 고딕"/>
          <w:lang w:eastAsia="zh-CN"/>
        </w:rPr>
        <w:fldChar w:fldCharType="separate"/>
      </w:r>
      <w:r w:rsidR="00EB429B">
        <w:rPr>
          <w:rFonts w:ascii="맑은 고딕" w:eastAsia="맑은 고딕" w:hAnsi="맑은 고딕"/>
          <w:lang w:eastAsia="zh-CN"/>
        </w:rPr>
        <w:fldChar w:fldCharType="begin"/>
      </w:r>
      <w:r w:rsidR="00EB429B">
        <w:rPr>
          <w:rFonts w:ascii="맑은 고딕" w:eastAsia="맑은 고딕" w:hAnsi="맑은 고딕"/>
          <w:lang w:eastAsia="zh-CN"/>
        </w:rPr>
        <w:instrText xml:space="preserve"> INCLUDEPICTURE  "cid:image001.png@01D55114.A0775AB0" \* MERGEFORMATINET </w:instrText>
      </w:r>
      <w:r w:rsidR="00EB429B">
        <w:rPr>
          <w:rFonts w:ascii="맑은 고딕" w:eastAsia="맑은 고딕" w:hAnsi="맑은 고딕"/>
          <w:lang w:eastAsia="zh-CN"/>
        </w:rPr>
        <w:fldChar w:fldCharType="separate"/>
      </w:r>
      <w:r w:rsidR="00000282">
        <w:rPr>
          <w:rFonts w:ascii="맑은 고딕" w:eastAsia="맑은 고딕" w:hAnsi="맑은 고딕"/>
          <w:lang w:eastAsia="zh-CN"/>
        </w:rPr>
        <w:fldChar w:fldCharType="begin"/>
      </w:r>
      <w:r w:rsidR="00000282">
        <w:rPr>
          <w:rFonts w:ascii="맑은 고딕" w:eastAsia="맑은 고딕" w:hAnsi="맑은 고딕"/>
          <w:lang w:eastAsia="zh-CN"/>
        </w:rPr>
        <w:instrText xml:space="preserve"> </w:instrText>
      </w:r>
      <w:r w:rsidR="00000282">
        <w:rPr>
          <w:rFonts w:ascii="맑은 고딕" w:eastAsia="맑은 고딕" w:hAnsi="맑은 고딕"/>
          <w:lang w:eastAsia="zh-CN"/>
        </w:rPr>
        <w:instrText>INCLUDEPICTURE  "cid:image001.png@01D55114.A0775AB0" \* MERGEFORMATINET</w:instrText>
      </w:r>
      <w:r w:rsidR="00000282">
        <w:rPr>
          <w:rFonts w:ascii="맑은 고딕" w:eastAsia="맑은 고딕" w:hAnsi="맑은 고딕"/>
          <w:lang w:eastAsia="zh-CN"/>
        </w:rPr>
        <w:instrText xml:space="preserve"> </w:instrText>
      </w:r>
      <w:r w:rsidR="00000282">
        <w:rPr>
          <w:rFonts w:ascii="맑은 고딕" w:eastAsia="맑은 고딕" w:hAnsi="맑은 고딕"/>
          <w:lang w:eastAsia="zh-CN"/>
        </w:rPr>
        <w:fldChar w:fldCharType="separate"/>
      </w:r>
      <w:r w:rsidR="00000282">
        <w:rPr>
          <w:rFonts w:ascii="맑은 고딕" w:eastAsia="맑은 고딕" w:hAnsi="맑은 고딕"/>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201.75pt">
            <v:imagedata r:id="rId7" r:href="rId8"/>
          </v:shape>
        </w:pict>
      </w:r>
      <w:r w:rsidR="00000282">
        <w:rPr>
          <w:rFonts w:ascii="맑은 고딕" w:eastAsia="맑은 고딕" w:hAnsi="맑은 고딕"/>
          <w:lang w:eastAsia="zh-CN"/>
        </w:rPr>
        <w:fldChar w:fldCharType="end"/>
      </w:r>
      <w:r w:rsidR="00EB429B">
        <w:rPr>
          <w:rFonts w:ascii="맑은 고딕" w:eastAsia="맑은 고딕" w:hAnsi="맑은 고딕"/>
          <w:lang w:eastAsia="zh-CN"/>
        </w:rPr>
        <w:fldChar w:fldCharType="end"/>
      </w:r>
      <w:r w:rsidR="00F870B6">
        <w:rPr>
          <w:rFonts w:ascii="맑은 고딕" w:eastAsia="맑은 고딕" w:hAnsi="맑은 고딕"/>
          <w:lang w:eastAsia="zh-CN"/>
        </w:rPr>
        <w:fldChar w:fldCharType="end"/>
      </w:r>
      <w:r w:rsidR="00D2515A">
        <w:rPr>
          <w:rFonts w:ascii="맑은 고딕" w:eastAsia="맑은 고딕" w:hAnsi="맑은 고딕"/>
          <w:lang w:eastAsia="zh-CN"/>
        </w:rPr>
        <w:fldChar w:fldCharType="end"/>
      </w:r>
      <w:r w:rsidR="00485B35">
        <w:rPr>
          <w:rFonts w:ascii="맑은 고딕" w:eastAsia="맑은 고딕" w:hAnsi="맑은 고딕"/>
          <w:lang w:eastAsia="zh-CN"/>
        </w:rPr>
        <w:fldChar w:fldCharType="end"/>
      </w:r>
      <w:r w:rsidR="00253839">
        <w:rPr>
          <w:rFonts w:ascii="맑은 고딕" w:eastAsia="맑은 고딕" w:hAnsi="맑은 고딕"/>
          <w:lang w:eastAsia="zh-CN"/>
        </w:rPr>
        <w:fldChar w:fldCharType="end"/>
      </w:r>
      <w:r>
        <w:rPr>
          <w:rFonts w:ascii="맑은 고딕" w:eastAsia="맑은 고딕" w:hAnsi="맑은 고딕"/>
          <w:lang w:eastAsia="zh-CN"/>
        </w:rPr>
        <w:fldChar w:fldCharType="end"/>
      </w:r>
      <w:r w:rsidR="00DC45C3">
        <w:rPr>
          <w:rFonts w:ascii="맑은 고딕" w:eastAsia="맑은 고딕" w:hAnsi="맑은 고딕"/>
          <w:lang w:eastAsia="zh-CN"/>
        </w:rPr>
        <w:t xml:space="preserve"> </w:t>
      </w:r>
    </w:p>
    <w:p w:rsidR="00BD1AE3" w:rsidRDefault="00814CCF" w:rsidP="0013383D">
      <w:pPr>
        <w:rPr>
          <w:rFonts w:eastAsiaTheme="minorEastAsia"/>
        </w:rPr>
      </w:pPr>
      <w:r>
        <w:rPr>
          <w:rFonts w:eastAsiaTheme="minorEastAsia"/>
        </w:rPr>
        <w:t xml:space="preserve">By applying NR-DC procedures, there should be clear definition of MN/SN and MCG/SCG. This should be defined in the UE perspective i.e., MT perspective. </w:t>
      </w:r>
      <w:r w:rsidR="00BD1AE3">
        <w:rPr>
          <w:rFonts w:eastAsiaTheme="minorEastAsia"/>
        </w:rPr>
        <w:t>37.340 has the following definition on MN/SN, MCG/SCG:</w:t>
      </w:r>
    </w:p>
    <w:p w:rsidR="00BD1AE3" w:rsidRDefault="00BD1AE3" w:rsidP="0013383D">
      <w:pPr>
        <w:rPr>
          <w:rFonts w:eastAsiaTheme="minorEastAsia"/>
        </w:rPr>
      </w:pPr>
    </w:p>
    <w:p w:rsidR="00BD1AE3" w:rsidRPr="00356895" w:rsidRDefault="00BD1AE3" w:rsidP="00BD1AE3">
      <w:r w:rsidRPr="00356895">
        <w:rPr>
          <w:b/>
        </w:rPr>
        <w:t>Master node</w:t>
      </w:r>
      <w:r w:rsidRPr="00356895">
        <w:t xml:space="preserve">: in MR-DC, the radio access node that provides </w:t>
      </w:r>
      <w:r w:rsidRPr="00BD1AE3">
        <w:rPr>
          <w:u w:val="single"/>
        </w:rPr>
        <w:t>the control plane connection to the core network</w:t>
      </w:r>
      <w:r w:rsidRPr="00356895">
        <w:t>. It may be a Master eNB (in EN-DC), a Master ng-eNB (in NGEN-DC) or a Master gNB (in NR-DC and NE-DC).</w:t>
      </w:r>
    </w:p>
    <w:p w:rsidR="00BD1AE3" w:rsidRPr="00356895" w:rsidRDefault="00BD1AE3" w:rsidP="00BD1AE3">
      <w:r w:rsidRPr="00356895">
        <w:rPr>
          <w:b/>
        </w:rPr>
        <w:t>Secondary node</w:t>
      </w:r>
      <w:r w:rsidRPr="00356895">
        <w:t xml:space="preserve">: in MR-DC, the radio access node, with no control plane connection to the core network, </w:t>
      </w:r>
      <w:r w:rsidRPr="00356895">
        <w:lastRenderedPageBreak/>
        <w:t>providing additional resources to the UE. It may be an en-gNB (in EN-DC), a Secondary ng-eNB (in NE-DC) or a Secondary gNB (in NR-DC and NGEN-DC).</w:t>
      </w:r>
    </w:p>
    <w:p w:rsidR="00BD1AE3" w:rsidRPr="00356895" w:rsidRDefault="00BD1AE3" w:rsidP="00BD1AE3">
      <w:r w:rsidRPr="00356895">
        <w:rPr>
          <w:b/>
        </w:rPr>
        <w:t>Master Cell Group</w:t>
      </w:r>
      <w:r w:rsidRPr="00356895">
        <w:t>:</w:t>
      </w:r>
      <w:r w:rsidRPr="00356895">
        <w:tab/>
        <w:t>in MR-DC, a group of serving cells associated with the Master Node, comprising of the SpCell (PCell) and optionally one or more SCells.</w:t>
      </w:r>
    </w:p>
    <w:p w:rsidR="00BD1AE3" w:rsidRPr="00356895" w:rsidRDefault="00BD1AE3" w:rsidP="00BD1AE3">
      <w:r w:rsidRPr="00356895">
        <w:rPr>
          <w:b/>
        </w:rPr>
        <w:t>Secondary Cell Group</w:t>
      </w:r>
      <w:r w:rsidRPr="00356895">
        <w:t>: in MR-DC, a group of serving cells associated with the Secondary Node, comprising of the SpCell (PSCell) and optionally one or more SCells.</w:t>
      </w:r>
    </w:p>
    <w:p w:rsidR="00BD1AE3" w:rsidRDefault="00BD1AE3" w:rsidP="0013383D">
      <w:pPr>
        <w:rPr>
          <w:rFonts w:eastAsiaTheme="minorEastAsia"/>
        </w:rPr>
      </w:pPr>
    </w:p>
    <w:p w:rsidR="00DC45C3" w:rsidRDefault="00BD1AE3" w:rsidP="0013383D">
      <w:r>
        <w:rPr>
          <w:rFonts w:eastAsiaTheme="minorEastAsia" w:hint="eastAsia"/>
        </w:rPr>
        <w:t xml:space="preserve">So, if we redefine MN and SN in IAB NR-DC case, we can solve all the other DC related terminology issues. </w:t>
      </w:r>
      <w:r>
        <w:rPr>
          <w:rFonts w:eastAsiaTheme="minorEastAsia"/>
        </w:rPr>
        <w:t xml:space="preserve">MN has the distinctive definition of </w:t>
      </w:r>
      <w:r w:rsidRPr="00BD1AE3">
        <w:rPr>
          <w:u w:val="single"/>
        </w:rPr>
        <w:t>the control plane connection to the core network</w:t>
      </w:r>
      <w:r>
        <w:t xml:space="preserve"> compared to SN. However, in option d’ single donor CU is attached to two DUs, which make some virtual</w:t>
      </w:r>
      <w:r w:rsidR="00DC45C3">
        <w:t xml:space="preserve"> two distinctive nodes and these are the two parent IAB nodes for outer leaf access IAB node. These two virtual IAB nodes have the control plane connection to the core network, so there is no need to restrict one of them due to loss of connection to the core network. By following the convention of UE’s access behavior to the MN first than SN, we can simply pick the DU first accessed by MT as a MN node. </w:t>
      </w:r>
    </w:p>
    <w:p w:rsidR="00DC45C3" w:rsidRDefault="00DC45C3" w:rsidP="0013383D">
      <w:pPr>
        <w:rPr>
          <w:u w:val="single"/>
        </w:rPr>
      </w:pPr>
      <w:r>
        <w:t xml:space="preserve">Observation 1. MN is defined as the node to have </w:t>
      </w:r>
      <w:r w:rsidRPr="00BD1AE3">
        <w:rPr>
          <w:u w:val="single"/>
        </w:rPr>
        <w:t>the control plane connection to the core network</w:t>
      </w:r>
      <w:r>
        <w:rPr>
          <w:u w:val="single"/>
        </w:rPr>
        <w:t>.</w:t>
      </w:r>
    </w:p>
    <w:p w:rsidR="00BD1AE3" w:rsidRDefault="00DC45C3" w:rsidP="0013383D">
      <w:r w:rsidRPr="00DC45C3">
        <w:t xml:space="preserve">Observation 2. </w:t>
      </w:r>
      <w:r>
        <w:t xml:space="preserve">Two IAB nodes as parent nodes also have the common IAB donor which has </w:t>
      </w:r>
      <w:r w:rsidRPr="00BD1AE3">
        <w:rPr>
          <w:u w:val="single"/>
        </w:rPr>
        <w:t>the control plane connection to the core network</w:t>
      </w:r>
      <w:r>
        <w:t>.</w:t>
      </w:r>
      <w:r w:rsidRPr="00DC45C3">
        <w:t xml:space="preserve"> </w:t>
      </w:r>
    </w:p>
    <w:p w:rsidR="00DC45C3" w:rsidRDefault="00DC45C3" w:rsidP="0013383D">
      <w:r>
        <w:t>Observation 3. There is no restriction of selecting MN role between two parent IAB nodes.</w:t>
      </w:r>
    </w:p>
    <w:p w:rsidR="00DC45C3" w:rsidRDefault="00DC45C3" w:rsidP="0013383D">
      <w:r>
        <w:t>By the convention of UE, we propose the following:</w:t>
      </w:r>
    </w:p>
    <w:p w:rsidR="00814CCF" w:rsidRPr="00DC45C3" w:rsidRDefault="00814CCF" w:rsidP="0013383D">
      <w:pPr>
        <w:rPr>
          <w:rFonts w:eastAsiaTheme="minorEastAsia"/>
          <w:b/>
        </w:rPr>
      </w:pPr>
      <w:r w:rsidRPr="00DC45C3">
        <w:rPr>
          <w:rFonts w:eastAsiaTheme="minorEastAsia"/>
          <w:b/>
        </w:rPr>
        <w:t xml:space="preserve">Proposal 1. MN in IAB NR-DC is defined as the first </w:t>
      </w:r>
      <w:r w:rsidR="00DC45C3" w:rsidRPr="00DC45C3">
        <w:rPr>
          <w:rFonts w:eastAsiaTheme="minorEastAsia"/>
          <w:b/>
        </w:rPr>
        <w:t xml:space="preserve">IAB node </w:t>
      </w:r>
      <w:r w:rsidR="00DC45C3" w:rsidRPr="00DC45C3">
        <w:rPr>
          <w:rFonts w:eastAsiaTheme="minorEastAsia" w:hint="eastAsia"/>
          <w:b/>
        </w:rPr>
        <w:t xml:space="preserve">which </w:t>
      </w:r>
      <w:r w:rsidR="00DC45C3" w:rsidRPr="00DC45C3">
        <w:rPr>
          <w:rFonts w:eastAsiaTheme="minorEastAsia"/>
          <w:b/>
        </w:rPr>
        <w:t>MT is connected.</w:t>
      </w:r>
    </w:p>
    <w:p w:rsidR="00814CCF" w:rsidRDefault="00814CCF" w:rsidP="0013383D">
      <w:pPr>
        <w:rPr>
          <w:rFonts w:eastAsiaTheme="minorEastAsia"/>
        </w:rPr>
      </w:pPr>
    </w:p>
    <w:p w:rsidR="00DC45C3" w:rsidRDefault="00DC45C3" w:rsidP="0013383D">
      <w:pPr>
        <w:rPr>
          <w:rFonts w:eastAsiaTheme="minorEastAsia"/>
        </w:rPr>
      </w:pPr>
      <w:r>
        <w:rPr>
          <w:rFonts w:eastAsiaTheme="minorEastAsia"/>
        </w:rPr>
        <w:t xml:space="preserve">If this MN/SN is defined, then MCG link, SCG link can be straightforwardly defined as the normal DC convention. </w:t>
      </w:r>
    </w:p>
    <w:p w:rsidR="00DC45C3" w:rsidRDefault="00DC45C3" w:rsidP="00DC45C3">
      <w:pPr>
        <w:rPr>
          <w:rFonts w:eastAsia="맑은 고딕"/>
        </w:rPr>
      </w:pPr>
      <w:r w:rsidRPr="007511B4">
        <w:rPr>
          <w:rFonts w:eastAsia="맑은 고딕" w:hint="eastAsia"/>
        </w:rPr>
        <w:t>Now let</w:t>
      </w:r>
      <w:r w:rsidRPr="007511B4">
        <w:rPr>
          <w:rFonts w:eastAsia="맑은 고딕"/>
        </w:rPr>
        <w:t xml:space="preserve">’s focus on the MT’s CP traffic which is RRC between CU RRC entity and MT RRC entity. MT has RRC and PDCP stack in it for its CP traffic, and communicates with CU RRC for CP signalling </w:t>
      </w:r>
      <w:r w:rsidR="00BB162D">
        <w:rPr>
          <w:rFonts w:eastAsia="맑은 고딕"/>
        </w:rPr>
        <w:t xml:space="preserve">between two parent IAB nodes. </w:t>
      </w:r>
      <w:r w:rsidRPr="007511B4">
        <w:rPr>
          <w:rFonts w:eastAsia="맑은 고딕"/>
        </w:rPr>
        <w:t>F</w:t>
      </w:r>
      <w:r w:rsidRPr="00171635">
        <w:rPr>
          <w:rFonts w:eastAsia="맑은 고딕"/>
        </w:rPr>
        <w:t>or CP</w:t>
      </w:r>
      <w:r>
        <w:rPr>
          <w:rFonts w:eastAsia="맑은 고딕"/>
        </w:rPr>
        <w:t xml:space="preserve"> traffic</w:t>
      </w:r>
      <w:r w:rsidRPr="00171635">
        <w:rPr>
          <w:rFonts w:eastAsia="맑은 고딕"/>
        </w:rPr>
        <w:t xml:space="preserve">, since MT has PDCP, SRB is exposed to the MT. Then MT can distinguish its </w:t>
      </w:r>
      <w:r>
        <w:rPr>
          <w:rFonts w:eastAsia="맑은 고딕"/>
        </w:rPr>
        <w:t xml:space="preserve">SRB type. </w:t>
      </w:r>
    </w:p>
    <w:p w:rsidR="00DC45C3" w:rsidRPr="00882DEC" w:rsidRDefault="00DC45C3" w:rsidP="00DC45C3">
      <w:pPr>
        <w:rPr>
          <w:rFonts w:eastAsia="맑은 고딕"/>
          <w:i/>
        </w:rPr>
      </w:pPr>
    </w:p>
    <w:p w:rsidR="00DC45C3" w:rsidRPr="00882DEC" w:rsidRDefault="00DC45C3" w:rsidP="00DC45C3">
      <w:pPr>
        <w:rPr>
          <w:rFonts w:eastAsia="맑은 고딕"/>
          <w:b/>
        </w:rPr>
      </w:pPr>
      <w:r w:rsidRPr="00882DEC">
        <w:rPr>
          <w:rFonts w:eastAsia="맑은 고딕"/>
          <w:b/>
        </w:rPr>
        <w:t>Proposal 2. MT can have SRB0/1/2</w:t>
      </w:r>
      <w:r w:rsidR="00BB162D">
        <w:rPr>
          <w:rFonts w:eastAsia="맑은 고딕"/>
          <w:b/>
        </w:rPr>
        <w:t>/3</w:t>
      </w:r>
      <w:r w:rsidRPr="00882DEC">
        <w:rPr>
          <w:rFonts w:eastAsia="맑은 고딕"/>
          <w:b/>
        </w:rPr>
        <w:t xml:space="preserve"> in IAB NR-DC</w:t>
      </w:r>
      <w:r w:rsidR="009705B9">
        <w:rPr>
          <w:rFonts w:eastAsia="맑은 고딕"/>
          <w:b/>
        </w:rPr>
        <w:t xml:space="preserve"> deployment</w:t>
      </w:r>
      <w:r w:rsidRPr="00882DEC">
        <w:rPr>
          <w:rFonts w:eastAsia="맑은 고딕"/>
          <w:b/>
        </w:rPr>
        <w:t>.</w:t>
      </w:r>
    </w:p>
    <w:p w:rsidR="00DC45C3" w:rsidRPr="00BB162D" w:rsidRDefault="00DC45C3" w:rsidP="00DC45C3">
      <w:pPr>
        <w:rPr>
          <w:rFonts w:eastAsia="맑은 고딕"/>
        </w:rPr>
      </w:pPr>
    </w:p>
    <w:p w:rsidR="00DC45C3" w:rsidRDefault="00DC45C3" w:rsidP="00DC45C3">
      <w:pPr>
        <w:rPr>
          <w:rFonts w:eastAsia="맑은 고딕"/>
        </w:rPr>
      </w:pPr>
      <w:r>
        <w:rPr>
          <w:rFonts w:eastAsia="맑은 고딕"/>
        </w:rPr>
        <w:t>In NR-DC, SRB0/1/2 is made on the link of MCG. B</w:t>
      </w:r>
      <w:r>
        <w:rPr>
          <w:rFonts w:eastAsia="맑은 고딕" w:hint="eastAsia"/>
        </w:rPr>
        <w:t xml:space="preserve">ased </w:t>
      </w:r>
      <w:r>
        <w:rPr>
          <w:rFonts w:eastAsia="맑은 고딕"/>
        </w:rPr>
        <w:t>on this convention of NR-DC, it is simple to fix one link as the main role like a MCG link. Aligning with Proposal 1, SRB0/1/2 is made on link 1.</w:t>
      </w:r>
    </w:p>
    <w:p w:rsidR="00DC45C3" w:rsidRDefault="00DC45C3" w:rsidP="00DC45C3">
      <w:pPr>
        <w:rPr>
          <w:rFonts w:eastAsia="맑은 고딕"/>
        </w:rPr>
      </w:pPr>
    </w:p>
    <w:p w:rsidR="00DC45C3" w:rsidRPr="005C7F93" w:rsidRDefault="00DC45C3" w:rsidP="00DC45C3">
      <w:pPr>
        <w:rPr>
          <w:rFonts w:eastAsia="맑은 고딕"/>
          <w:b/>
        </w:rPr>
      </w:pPr>
      <w:r w:rsidRPr="005C7F93">
        <w:rPr>
          <w:rFonts w:eastAsia="맑은 고딕"/>
          <w:b/>
        </w:rPr>
        <w:t xml:space="preserve">Proposal 3. SRB0/1/2 is made on </w:t>
      </w:r>
      <w:r w:rsidR="00BB162D">
        <w:rPr>
          <w:rFonts w:eastAsia="맑은 고딕"/>
          <w:b/>
        </w:rPr>
        <w:t xml:space="preserve">MCG link and SRB3 is made on SCG </w:t>
      </w:r>
      <w:r w:rsidRPr="005C7F93">
        <w:rPr>
          <w:rFonts w:eastAsia="맑은 고딕"/>
          <w:b/>
        </w:rPr>
        <w:t>link.</w:t>
      </w:r>
    </w:p>
    <w:p w:rsidR="00DC45C3" w:rsidRDefault="00DC45C3" w:rsidP="00DC45C3">
      <w:pPr>
        <w:rPr>
          <w:rFonts w:eastAsia="맑은 고딕"/>
        </w:rPr>
      </w:pPr>
      <w:r w:rsidRPr="00882DEC">
        <w:rPr>
          <w:rFonts w:eastAsia="맑은 고딕"/>
        </w:rPr>
        <w:t>Regarding split SRB, whenever the second parent node</w:t>
      </w:r>
      <w:r w:rsidR="00BB162D">
        <w:rPr>
          <w:rFonts w:eastAsia="맑은 고딕"/>
        </w:rPr>
        <w:t xml:space="preserve"> (SN)</w:t>
      </w:r>
      <w:r w:rsidRPr="00882DEC">
        <w:rPr>
          <w:rFonts w:eastAsia="맑은 고딕"/>
        </w:rPr>
        <w:t xml:space="preserve"> is connected, and CU configures the BAP</w:t>
      </w:r>
      <w:r>
        <w:rPr>
          <w:rFonts w:eastAsia="맑은 고딕"/>
        </w:rPr>
        <w:t xml:space="preserve"> in that second parent node</w:t>
      </w:r>
      <w:r w:rsidRPr="00882DEC">
        <w:rPr>
          <w:rFonts w:eastAsia="맑은 고딕"/>
        </w:rPr>
        <w:t>, then there is the route which can be used for the split leg for SRB.</w:t>
      </w:r>
      <w:r>
        <w:rPr>
          <w:rFonts w:eastAsia="맑은 고딕"/>
        </w:rPr>
        <w:t xml:space="preserve"> Therefore, intrinsically there could be a split route when MT has dual connection in option d’.</w:t>
      </w:r>
    </w:p>
    <w:p w:rsidR="00DC45C3" w:rsidRPr="000B1960" w:rsidRDefault="00DC45C3" w:rsidP="00DC45C3">
      <w:pPr>
        <w:rPr>
          <w:rFonts w:eastAsia="맑은 고딕"/>
          <w:i/>
        </w:rPr>
      </w:pPr>
      <w:r w:rsidRPr="000B1960">
        <w:rPr>
          <w:rFonts w:eastAsia="맑은 고딕"/>
          <w:i/>
        </w:rPr>
        <w:t>Observation 4. MT can have the split SRB when dual connection is configured.</w:t>
      </w:r>
    </w:p>
    <w:p w:rsidR="00DC45C3" w:rsidRPr="000B1960" w:rsidRDefault="00DC45C3" w:rsidP="00DC45C3">
      <w:pPr>
        <w:rPr>
          <w:rFonts w:eastAsia="맑은 고딕"/>
          <w:b/>
        </w:rPr>
      </w:pPr>
      <w:r>
        <w:rPr>
          <w:rFonts w:eastAsia="맑은 고딕" w:hint="eastAsia"/>
          <w:b/>
        </w:rPr>
        <w:t>Proposal 4</w:t>
      </w:r>
      <w:r w:rsidRPr="000B1960">
        <w:rPr>
          <w:rFonts w:eastAsia="맑은 고딕" w:hint="eastAsia"/>
          <w:b/>
        </w:rPr>
        <w:t xml:space="preserve">. </w:t>
      </w:r>
      <w:r w:rsidR="009705B9">
        <w:rPr>
          <w:rFonts w:eastAsia="맑은 고딕"/>
          <w:b/>
        </w:rPr>
        <w:t>MT</w:t>
      </w:r>
      <w:r w:rsidRPr="000B1960">
        <w:rPr>
          <w:rFonts w:eastAsia="맑은 고딕"/>
          <w:b/>
        </w:rPr>
        <w:t xml:space="preserve"> can have </w:t>
      </w:r>
      <w:r w:rsidRPr="00882DEC">
        <w:rPr>
          <w:rFonts w:eastAsia="맑은 고딕"/>
          <w:b/>
        </w:rPr>
        <w:t>split SRB</w:t>
      </w:r>
      <w:r>
        <w:rPr>
          <w:rFonts w:eastAsia="맑은 고딕"/>
          <w:b/>
        </w:rPr>
        <w:t xml:space="preserve"> in IAB NR-DC</w:t>
      </w:r>
      <w:r w:rsidR="009705B9">
        <w:rPr>
          <w:rFonts w:eastAsia="맑은 고딕"/>
          <w:b/>
        </w:rPr>
        <w:t xml:space="preserve"> deployment</w:t>
      </w:r>
      <w:r>
        <w:rPr>
          <w:rFonts w:eastAsia="맑은 고딕"/>
          <w:b/>
        </w:rPr>
        <w:t>.</w:t>
      </w:r>
    </w:p>
    <w:p w:rsidR="00DC45C3" w:rsidRDefault="00DC45C3" w:rsidP="00DC45C3">
      <w:pPr>
        <w:pStyle w:val="1"/>
        <w:overflowPunct w:val="0"/>
        <w:autoSpaceDE w:val="0"/>
        <w:autoSpaceDN w:val="0"/>
        <w:adjustRightInd w:val="0"/>
        <w:ind w:left="432" w:hanging="432"/>
        <w:jc w:val="both"/>
        <w:textAlignment w:val="baseline"/>
      </w:pPr>
      <w:r>
        <w:lastRenderedPageBreak/>
        <w:t xml:space="preserve">Conclusion </w:t>
      </w:r>
    </w:p>
    <w:p w:rsidR="00DC45C3" w:rsidRDefault="00DC45C3" w:rsidP="00DC45C3">
      <w:pPr>
        <w:rPr>
          <w:lang w:eastAsia="zh-CN"/>
        </w:rPr>
      </w:pPr>
      <w:r>
        <w:rPr>
          <w:lang w:eastAsia="zh-CN"/>
        </w:rPr>
        <w:t>In this paper, we have the following proposals:</w:t>
      </w:r>
    </w:p>
    <w:p w:rsidR="00EF68CA" w:rsidRPr="00DC45C3" w:rsidRDefault="00EF68CA" w:rsidP="00EF68CA">
      <w:pPr>
        <w:rPr>
          <w:rFonts w:eastAsiaTheme="minorEastAsia"/>
          <w:b/>
        </w:rPr>
      </w:pPr>
      <w:r w:rsidRPr="00DC45C3">
        <w:rPr>
          <w:rFonts w:eastAsiaTheme="minorEastAsia"/>
          <w:b/>
        </w:rPr>
        <w:t xml:space="preserve">Proposal 1. MN in IAB NR-DC is defined as the first IAB node </w:t>
      </w:r>
      <w:r w:rsidRPr="00DC45C3">
        <w:rPr>
          <w:rFonts w:eastAsiaTheme="minorEastAsia" w:hint="eastAsia"/>
          <w:b/>
        </w:rPr>
        <w:t xml:space="preserve">which </w:t>
      </w:r>
      <w:r w:rsidRPr="00DC45C3">
        <w:rPr>
          <w:rFonts w:eastAsiaTheme="minorEastAsia"/>
          <w:b/>
        </w:rPr>
        <w:t>MT is connected.</w:t>
      </w:r>
    </w:p>
    <w:p w:rsidR="009705B9" w:rsidRPr="00882DEC" w:rsidRDefault="009705B9" w:rsidP="009705B9">
      <w:pPr>
        <w:rPr>
          <w:rFonts w:eastAsia="맑은 고딕"/>
          <w:b/>
        </w:rPr>
      </w:pPr>
      <w:r w:rsidRPr="00882DEC">
        <w:rPr>
          <w:rFonts w:eastAsia="맑은 고딕"/>
          <w:b/>
        </w:rPr>
        <w:t>Proposal 2. MT can have SRB0/1/2</w:t>
      </w:r>
      <w:r>
        <w:rPr>
          <w:rFonts w:eastAsia="맑은 고딕"/>
          <w:b/>
        </w:rPr>
        <w:t>/3</w:t>
      </w:r>
      <w:r w:rsidRPr="00882DEC">
        <w:rPr>
          <w:rFonts w:eastAsia="맑은 고딕"/>
          <w:b/>
        </w:rPr>
        <w:t xml:space="preserve"> in IAB NR-DC</w:t>
      </w:r>
      <w:r>
        <w:rPr>
          <w:rFonts w:eastAsia="맑은 고딕"/>
          <w:b/>
        </w:rPr>
        <w:t xml:space="preserve"> deployment</w:t>
      </w:r>
      <w:r w:rsidRPr="00882DEC">
        <w:rPr>
          <w:rFonts w:eastAsia="맑은 고딕"/>
          <w:b/>
        </w:rPr>
        <w:t>.</w:t>
      </w:r>
    </w:p>
    <w:p w:rsidR="009705B9" w:rsidRPr="005C7F93" w:rsidRDefault="009705B9" w:rsidP="009705B9">
      <w:pPr>
        <w:rPr>
          <w:rFonts w:eastAsia="맑은 고딕"/>
          <w:b/>
        </w:rPr>
      </w:pPr>
      <w:r w:rsidRPr="005C7F93">
        <w:rPr>
          <w:rFonts w:eastAsia="맑은 고딕"/>
          <w:b/>
        </w:rPr>
        <w:t xml:space="preserve">Proposal 3. SRB0/1/2 is made on </w:t>
      </w:r>
      <w:r>
        <w:rPr>
          <w:rFonts w:eastAsia="맑은 고딕"/>
          <w:b/>
        </w:rPr>
        <w:t xml:space="preserve">MCG link and SRB3 is made on SCG </w:t>
      </w:r>
      <w:r w:rsidRPr="005C7F93">
        <w:rPr>
          <w:rFonts w:eastAsia="맑은 고딕"/>
          <w:b/>
        </w:rPr>
        <w:t>link.</w:t>
      </w:r>
    </w:p>
    <w:p w:rsidR="009705B9" w:rsidRPr="000B1960" w:rsidRDefault="009705B9" w:rsidP="009705B9">
      <w:pPr>
        <w:rPr>
          <w:rFonts w:eastAsia="맑은 고딕"/>
          <w:b/>
        </w:rPr>
      </w:pPr>
      <w:r>
        <w:rPr>
          <w:rFonts w:eastAsia="맑은 고딕" w:hint="eastAsia"/>
          <w:b/>
        </w:rPr>
        <w:t>Proposal 4</w:t>
      </w:r>
      <w:r w:rsidRPr="000B1960">
        <w:rPr>
          <w:rFonts w:eastAsia="맑은 고딕" w:hint="eastAsia"/>
          <w:b/>
        </w:rPr>
        <w:t xml:space="preserve">. </w:t>
      </w:r>
      <w:r>
        <w:rPr>
          <w:rFonts w:eastAsia="맑은 고딕"/>
          <w:b/>
        </w:rPr>
        <w:t>MT</w:t>
      </w:r>
      <w:r w:rsidRPr="000B1960">
        <w:rPr>
          <w:rFonts w:eastAsia="맑은 고딕"/>
          <w:b/>
        </w:rPr>
        <w:t xml:space="preserve"> can have </w:t>
      </w:r>
      <w:r w:rsidRPr="00882DEC">
        <w:rPr>
          <w:rFonts w:eastAsia="맑은 고딕"/>
          <w:b/>
        </w:rPr>
        <w:t>split SRB</w:t>
      </w:r>
      <w:r>
        <w:rPr>
          <w:rFonts w:eastAsia="맑은 고딕"/>
          <w:b/>
        </w:rPr>
        <w:t xml:space="preserve"> in IAB NR-DC deployment.</w:t>
      </w:r>
    </w:p>
    <w:p w:rsidR="00DC45C3" w:rsidRPr="009705B9" w:rsidRDefault="00DC45C3" w:rsidP="0013383D">
      <w:pPr>
        <w:rPr>
          <w:rFonts w:eastAsiaTheme="minorEastAsia"/>
        </w:rPr>
      </w:pPr>
    </w:p>
    <w:p w:rsidR="00AF0696" w:rsidRPr="00AF0696" w:rsidRDefault="00AF0696" w:rsidP="0013383D">
      <w:pPr>
        <w:rPr>
          <w:rFonts w:eastAsiaTheme="minorEastAsia"/>
        </w:rPr>
      </w:pPr>
    </w:p>
    <w:p w:rsidR="00034333" w:rsidRDefault="00034333" w:rsidP="0013383D"/>
    <w:sectPr w:rsid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282" w:rsidRDefault="00000282" w:rsidP="00A74E79">
      <w:pPr>
        <w:spacing w:after="0" w:line="240" w:lineRule="auto"/>
      </w:pPr>
      <w:r>
        <w:separator/>
      </w:r>
    </w:p>
  </w:endnote>
  <w:endnote w:type="continuationSeparator" w:id="0">
    <w:p w:rsidR="00000282" w:rsidRDefault="00000282" w:rsidP="00A7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Hei">
    <w:altName w:val="맑은 고딕 Semilight"/>
    <w:panose1 w:val="02010600030101010101"/>
    <w:charset w:val="86"/>
    <w:family w:val="modern"/>
    <w:pitch w:val="fixed"/>
    <w:sig w:usb0="00000000"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282" w:rsidRDefault="00000282" w:rsidP="00A74E79">
      <w:pPr>
        <w:spacing w:after="0" w:line="240" w:lineRule="auto"/>
      </w:pPr>
      <w:r>
        <w:separator/>
      </w:r>
    </w:p>
  </w:footnote>
  <w:footnote w:type="continuationSeparator" w:id="0">
    <w:p w:rsidR="00000282" w:rsidRDefault="00000282" w:rsidP="00A7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3A6A215F"/>
    <w:multiLevelType w:val="hybridMultilevel"/>
    <w:tmpl w:val="80443624"/>
    <w:lvl w:ilvl="0" w:tplc="9238102A">
      <w:numFmt w:val="bullet"/>
      <w:lvlText w:val="-"/>
      <w:lvlJc w:val="left"/>
      <w:pPr>
        <w:ind w:left="1155" w:hanging="360"/>
      </w:pPr>
      <w:rPr>
        <w:rFonts w:ascii="맑은 고딕" w:eastAsia="맑은 고딕" w:hAnsi="맑은 고딕" w:cs="Times New Roman" w:hint="eastAsia"/>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start w:val="1"/>
      <w:numFmt w:val="bullet"/>
      <w:lvlText w:val=""/>
      <w:lvlJc w:val="left"/>
      <w:pPr>
        <w:ind w:left="2795" w:hanging="400"/>
      </w:pPr>
      <w:rPr>
        <w:rFonts w:ascii="Wingdings" w:hAnsi="Wingdings" w:hint="default"/>
      </w:rPr>
    </w:lvl>
    <w:lvl w:ilvl="5" w:tplc="04090005">
      <w:start w:val="1"/>
      <w:numFmt w:val="bullet"/>
      <w:lvlText w:val=""/>
      <w:lvlJc w:val="left"/>
      <w:pPr>
        <w:ind w:left="3195" w:hanging="400"/>
      </w:pPr>
      <w:rPr>
        <w:rFonts w:ascii="Wingdings" w:hAnsi="Wingdings" w:hint="default"/>
      </w:rPr>
    </w:lvl>
    <w:lvl w:ilvl="6" w:tplc="04090001">
      <w:start w:val="1"/>
      <w:numFmt w:val="bullet"/>
      <w:lvlText w:val=""/>
      <w:lvlJc w:val="left"/>
      <w:pPr>
        <w:ind w:left="3595" w:hanging="400"/>
      </w:pPr>
      <w:rPr>
        <w:rFonts w:ascii="Wingdings" w:hAnsi="Wingdings" w:hint="default"/>
      </w:rPr>
    </w:lvl>
    <w:lvl w:ilvl="7" w:tplc="04090003">
      <w:start w:val="1"/>
      <w:numFmt w:val="bullet"/>
      <w:lvlText w:val=""/>
      <w:lvlJc w:val="left"/>
      <w:pPr>
        <w:ind w:left="3995" w:hanging="400"/>
      </w:pPr>
      <w:rPr>
        <w:rFonts w:ascii="Wingdings" w:hAnsi="Wingdings" w:hint="default"/>
      </w:rPr>
    </w:lvl>
    <w:lvl w:ilvl="8" w:tplc="04090005">
      <w:start w:val="1"/>
      <w:numFmt w:val="bullet"/>
      <w:lvlText w:val=""/>
      <w:lvlJc w:val="left"/>
      <w:pPr>
        <w:ind w:left="4395" w:hanging="400"/>
      </w:pPr>
      <w:rPr>
        <w:rFonts w:ascii="Wingdings" w:hAnsi="Wingdings" w:hint="default"/>
      </w:rPr>
    </w:lvl>
  </w:abstractNum>
  <w:abstractNum w:abstractNumId="3"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DA80BB1"/>
    <w:multiLevelType w:val="hybridMultilevel"/>
    <w:tmpl w:val="3B6E710C"/>
    <w:lvl w:ilvl="0" w:tplc="5748C5FE">
      <w:start w:val="4"/>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00282"/>
    <w:rsid w:val="00033F41"/>
    <w:rsid w:val="00034333"/>
    <w:rsid w:val="00046839"/>
    <w:rsid w:val="000F3907"/>
    <w:rsid w:val="0013383D"/>
    <w:rsid w:val="00253839"/>
    <w:rsid w:val="002912A3"/>
    <w:rsid w:val="00323905"/>
    <w:rsid w:val="003A2020"/>
    <w:rsid w:val="00401668"/>
    <w:rsid w:val="00485B35"/>
    <w:rsid w:val="004C6C5B"/>
    <w:rsid w:val="004F21D8"/>
    <w:rsid w:val="00534C1C"/>
    <w:rsid w:val="005E5EE7"/>
    <w:rsid w:val="006A329A"/>
    <w:rsid w:val="00732A4C"/>
    <w:rsid w:val="00814CCF"/>
    <w:rsid w:val="00846938"/>
    <w:rsid w:val="0085731C"/>
    <w:rsid w:val="00865811"/>
    <w:rsid w:val="008949D2"/>
    <w:rsid w:val="008B2649"/>
    <w:rsid w:val="008D7364"/>
    <w:rsid w:val="00905864"/>
    <w:rsid w:val="00915DC3"/>
    <w:rsid w:val="00940F74"/>
    <w:rsid w:val="009705B9"/>
    <w:rsid w:val="00975BF6"/>
    <w:rsid w:val="00A42448"/>
    <w:rsid w:val="00A74E79"/>
    <w:rsid w:val="00A7743F"/>
    <w:rsid w:val="00AE7C27"/>
    <w:rsid w:val="00AF0696"/>
    <w:rsid w:val="00BB162D"/>
    <w:rsid w:val="00BB7BA1"/>
    <w:rsid w:val="00BD1AE3"/>
    <w:rsid w:val="00C06798"/>
    <w:rsid w:val="00C45469"/>
    <w:rsid w:val="00C61031"/>
    <w:rsid w:val="00CC4E7B"/>
    <w:rsid w:val="00CD4FA6"/>
    <w:rsid w:val="00D2515A"/>
    <w:rsid w:val="00D5117B"/>
    <w:rsid w:val="00DC45C3"/>
    <w:rsid w:val="00E22BA9"/>
    <w:rsid w:val="00E30F06"/>
    <w:rsid w:val="00E31F4D"/>
    <w:rsid w:val="00EB429B"/>
    <w:rsid w:val="00EF68CA"/>
    <w:rsid w:val="00F263D7"/>
    <w:rsid w:val="00F71C23"/>
    <w:rsid w:val="00F870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uiPriority w:val="34"/>
    <w:qFormat/>
    <w:rsid w:val="00AE7C27"/>
    <w:pPr>
      <w:ind w:leftChars="400" w:left="800"/>
    </w:pPr>
  </w:style>
  <w:style w:type="paragraph" w:styleId="a6">
    <w:name w:val="header"/>
    <w:basedOn w:val="a1"/>
    <w:link w:val="Char"/>
    <w:uiPriority w:val="99"/>
    <w:unhideWhenUsed/>
    <w:rsid w:val="00A74E79"/>
    <w:pPr>
      <w:tabs>
        <w:tab w:val="center" w:pos="4513"/>
        <w:tab w:val="right" w:pos="9026"/>
      </w:tabs>
      <w:snapToGrid w:val="0"/>
    </w:pPr>
  </w:style>
  <w:style w:type="character" w:customStyle="1" w:styleId="Char">
    <w:name w:val="머리글 Char"/>
    <w:basedOn w:val="a2"/>
    <w:link w:val="a6"/>
    <w:uiPriority w:val="99"/>
    <w:rsid w:val="00A74E79"/>
    <w:rPr>
      <w:rFonts w:ascii="Calibri" w:eastAsia="Calibri" w:hAnsi="Calibri"/>
    </w:rPr>
  </w:style>
  <w:style w:type="paragraph" w:styleId="a7">
    <w:name w:val="footer"/>
    <w:basedOn w:val="a1"/>
    <w:link w:val="Char0"/>
    <w:uiPriority w:val="99"/>
    <w:unhideWhenUsed/>
    <w:rsid w:val="00A74E79"/>
    <w:pPr>
      <w:tabs>
        <w:tab w:val="center" w:pos="4513"/>
        <w:tab w:val="right" w:pos="9026"/>
      </w:tabs>
      <w:snapToGrid w:val="0"/>
    </w:pPr>
  </w:style>
  <w:style w:type="character" w:customStyle="1" w:styleId="Char0">
    <w:name w:val="바닥글 Char"/>
    <w:basedOn w:val="a2"/>
    <w:link w:val="a7"/>
    <w:uiPriority w:val="99"/>
    <w:rsid w:val="00A74E79"/>
    <w:rPr>
      <w:rFonts w:ascii="Calibri" w:eastAsia="Calibri" w:hAnsi="Calibri"/>
    </w:rPr>
  </w:style>
  <w:style w:type="paragraph" w:customStyle="1" w:styleId="Agreement">
    <w:name w:val="Agreement"/>
    <w:basedOn w:val="a1"/>
    <w:next w:val="a1"/>
    <w:rsid w:val="0085731C"/>
    <w:pPr>
      <w:widowControl/>
      <w:numPr>
        <w:numId w:val="5"/>
      </w:numPr>
      <w:tabs>
        <w:tab w:val="clear" w:pos="4680"/>
        <w:tab w:val="num" w:pos="1619"/>
      </w:tabs>
      <w:wordWrap/>
      <w:autoSpaceDE/>
      <w:autoSpaceDN/>
      <w:spacing w:before="60" w:after="0" w:line="240" w:lineRule="auto"/>
      <w:ind w:left="1619"/>
      <w:jc w:val="left"/>
    </w:pPr>
    <w:rPr>
      <w:rFonts w:ascii="Arial" w:eastAsia="MS Mincho" w:hAnsi="Arial" w:cs="Times New Roman"/>
      <w:b/>
      <w:kern w:val="0"/>
      <w:szCs w:val="24"/>
      <w:lang w:val="en-GB" w:eastAsia="en-GB"/>
    </w:rPr>
  </w:style>
  <w:style w:type="paragraph" w:customStyle="1" w:styleId="40">
    <w:name w:val="标题4"/>
    <w:basedOn w:val="a1"/>
    <w:rsid w:val="00DC45C3"/>
    <w:pPr>
      <w:widowControl/>
      <w:numPr>
        <w:numId w:val="6"/>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4852">
      <w:bodyDiv w:val="1"/>
      <w:marLeft w:val="0"/>
      <w:marRight w:val="0"/>
      <w:marTop w:val="0"/>
      <w:marBottom w:val="0"/>
      <w:divBdr>
        <w:top w:val="none" w:sz="0" w:space="0" w:color="auto"/>
        <w:left w:val="none" w:sz="0" w:space="0" w:color="auto"/>
        <w:bottom w:val="none" w:sz="0" w:space="0" w:color="auto"/>
        <w:right w:val="none" w:sz="0" w:space="0" w:color="auto"/>
      </w:divBdr>
    </w:div>
    <w:div w:id="361324760">
      <w:bodyDiv w:val="1"/>
      <w:marLeft w:val="0"/>
      <w:marRight w:val="0"/>
      <w:marTop w:val="0"/>
      <w:marBottom w:val="0"/>
      <w:divBdr>
        <w:top w:val="none" w:sz="0" w:space="0" w:color="auto"/>
        <w:left w:val="none" w:sz="0" w:space="0" w:color="auto"/>
        <w:bottom w:val="none" w:sz="0" w:space="0" w:color="auto"/>
        <w:right w:val="none" w:sz="0" w:space="0" w:color="auto"/>
      </w:divBdr>
    </w:div>
    <w:div w:id="1185556067">
      <w:bodyDiv w:val="1"/>
      <w:marLeft w:val="0"/>
      <w:marRight w:val="0"/>
      <w:marTop w:val="0"/>
      <w:marBottom w:val="0"/>
      <w:divBdr>
        <w:top w:val="none" w:sz="0" w:space="0" w:color="auto"/>
        <w:left w:val="none" w:sz="0" w:space="0" w:color="auto"/>
        <w:bottom w:val="none" w:sz="0" w:space="0" w:color="auto"/>
        <w:right w:val="none" w:sz="0" w:space="0" w:color="auto"/>
      </w:divBdr>
    </w:div>
    <w:div w:id="1428188786">
      <w:bodyDiv w:val="1"/>
      <w:marLeft w:val="0"/>
      <w:marRight w:val="0"/>
      <w:marTop w:val="0"/>
      <w:marBottom w:val="0"/>
      <w:divBdr>
        <w:top w:val="none" w:sz="0" w:space="0" w:color="auto"/>
        <w:left w:val="none" w:sz="0" w:space="0" w:color="auto"/>
        <w:bottom w:val="none" w:sz="0" w:space="0" w:color="auto"/>
        <w:right w:val="none" w:sz="0" w:space="0" w:color="auto"/>
      </w:divBdr>
    </w:div>
    <w:div w:id="1613897233">
      <w:bodyDiv w:val="1"/>
      <w:marLeft w:val="0"/>
      <w:marRight w:val="0"/>
      <w:marTop w:val="0"/>
      <w:marBottom w:val="0"/>
      <w:divBdr>
        <w:top w:val="none" w:sz="0" w:space="0" w:color="auto"/>
        <w:left w:val="none" w:sz="0" w:space="0" w:color="auto"/>
        <w:bottom w:val="none" w:sz="0" w:space="0" w:color="auto"/>
        <w:right w:val="none" w:sz="0" w:space="0" w:color="auto"/>
      </w:divBdr>
    </w:div>
    <w:div w:id="20075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55114.A0775AB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717</Words>
  <Characters>4092</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Samsung (June Hwang)</cp:lastModifiedBy>
  <cp:revision>6</cp:revision>
  <dcterms:created xsi:type="dcterms:W3CDTF">2020-02-11T05:22:00Z</dcterms:created>
  <dcterms:modified xsi:type="dcterms:W3CDTF">2020-02-14T06:16:00Z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